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eastAsia="宋体"/>
          <w:b/>
          <w:i/>
          <w:sz w:val="28"/>
          <w:lang w:val="en-US" w:eastAsia="zh-CN"/>
        </w:rPr>
      </w:pPr>
      <w:bookmarkStart w:id="0" w:name="_Hlk145348135"/>
      <w:r>
        <w:rPr>
          <w:rFonts w:ascii="Arial" w:hAnsi="Arial"/>
          <w:b/>
          <w:sz w:val="24"/>
        </w:rPr>
        <w:t>3GPP TSG-SA3 Meeting #113</w:t>
      </w:r>
      <w:bookmarkEnd w:id="0"/>
      <w:r>
        <w:rPr>
          <w:rFonts w:ascii="Arial" w:hAnsi="Arial"/>
          <w:b/>
          <w:i/>
          <w:sz w:val="28"/>
        </w:rPr>
        <w:tab/>
      </w:r>
      <w:r>
        <w:rPr>
          <w:rFonts w:ascii="Arial" w:hAnsi="Arial"/>
          <w:b/>
          <w:i/>
          <w:sz w:val="28"/>
        </w:rPr>
        <w:t>S3-23</w:t>
      </w:r>
      <w:r>
        <w:rPr>
          <w:rFonts w:hint="eastAsia" w:ascii="Arial" w:hAnsi="Arial" w:eastAsia="宋体"/>
          <w:b/>
          <w:i/>
          <w:sz w:val="28"/>
          <w:lang w:val="en-US" w:eastAsia="zh-CN"/>
        </w:rPr>
        <w:t>4677</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Chicago, US, 6 - 1</w:t>
      </w:r>
      <w:r>
        <w:rPr>
          <w:rFonts w:hint="eastAsia" w:ascii="Arial" w:hAnsi="Arial" w:eastAsia="宋体"/>
          <w:b/>
          <w:sz w:val="24"/>
          <w:lang w:val="en-US" w:eastAsia="zh-CN"/>
        </w:rPr>
        <w:t>0</w:t>
      </w:r>
      <w:r>
        <w:rPr>
          <w:rFonts w:ascii="Arial" w:hAnsi="Arial"/>
          <w:b/>
          <w:sz w:val="24"/>
        </w:rPr>
        <w:t xml:space="preserve"> November 2023</w:t>
      </w:r>
      <w:r>
        <w:rPr>
          <w:rFonts w:ascii="Arial" w:hAnsi="Arial"/>
          <w:b/>
          <w:sz w:val="24"/>
        </w:rPr>
        <w:tab/>
      </w:r>
      <w:r>
        <w:rPr>
          <w:rFonts w:ascii="Arial" w:hAnsi="Arial"/>
          <w:b/>
          <w:sz w:val="24"/>
        </w:rPr>
        <w:t xml:space="preserve"> </w:t>
      </w:r>
      <w:r>
        <w:rPr>
          <w:rFonts w:ascii="Arial" w:hAnsi="Arial"/>
          <w:b/>
        </w:rPr>
        <w:t xml:space="preserve">(revision of </w:t>
      </w:r>
      <w:r>
        <w:rPr>
          <w:rFonts w:hint="eastAsia" w:ascii="Arial" w:hAnsi="Arial" w:eastAsia="宋体"/>
          <w:b/>
          <w:lang w:val="en-US" w:eastAsia="zh-CN"/>
        </w:rPr>
        <w:t>xx-yyyyyy</w:t>
      </w:r>
      <w:r>
        <w:rPr>
          <w:rFonts w:ascii="Arial" w:hAnsi="Arial"/>
          <w:b/>
        </w:rPr>
        <w:t>)</w:t>
      </w:r>
      <w:r>
        <w:rPr>
          <w:sz w:val="24"/>
        </w:rPr>
        <w:tab/>
      </w:r>
      <w:r>
        <w:tab/>
      </w:r>
    </w:p>
    <w:p>
      <w:pPr>
        <w:tabs>
          <w:tab w:val="left" w:pos="2127"/>
        </w:tabs>
        <w:ind w:left="2127" w:hanging="2127"/>
        <w:jc w:val="both"/>
        <w:outlineLvl w:val="0"/>
        <w:rPr>
          <w:rFonts w:hint="eastAsia" w:ascii="Arial" w:hAnsi="Arial" w:eastAsia="Batang"/>
          <w:b/>
          <w:sz w:val="24"/>
          <w:szCs w:val="24"/>
          <w:lang w:val="en-US" w:eastAsia="zh-CN"/>
        </w:rPr>
      </w:pPr>
      <w:r>
        <w:rPr>
          <w:rFonts w:ascii="Arial" w:hAnsi="Arial" w:eastAsia="Batang"/>
          <w:b/>
          <w:sz w:val="24"/>
          <w:szCs w:val="24"/>
          <w:lang w:eastAsia="zh-CN"/>
        </w:rPr>
        <w:t>Source:</w:t>
      </w:r>
      <w:r>
        <w:rPr>
          <w:rFonts w:ascii="Arial" w:hAnsi="Arial" w:eastAsia="Batang"/>
          <w:b/>
          <w:sz w:val="24"/>
          <w:szCs w:val="24"/>
          <w:lang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on </w:t>
      </w:r>
      <w:r>
        <w:rPr>
          <w:rFonts w:hint="eastAsia" w:ascii="Arial" w:hAnsi="Arial" w:eastAsia="Batang" w:cs="Arial"/>
          <w:b/>
          <w:sz w:val="24"/>
          <w:szCs w:val="24"/>
          <w:lang w:eastAsia="zh-CN"/>
        </w:rPr>
        <w:t>Security Aspects of</w:t>
      </w:r>
      <w:r>
        <w:rPr>
          <w:rFonts w:hint="eastAsia" w:ascii="Arial" w:hAnsi="Arial" w:eastAsia="Batang" w:cs="Arial"/>
          <w:b/>
          <w:sz w:val="24"/>
          <w:szCs w:val="24"/>
          <w:lang w:val="en-US" w:eastAsia="zh-CN"/>
        </w:rPr>
        <w:t xml:space="preserve"> Indirect Network Sharing</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hint="eastAsia"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6.3</w:t>
      </w:r>
    </w:p>
    <w:p>
      <w:pPr>
        <w:rPr>
          <w:rFonts w:eastAsia="Batang"/>
          <w:lang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 xml:space="preserve">Study on </w:t>
      </w:r>
      <w:r>
        <w:rPr>
          <w:rFonts w:hint="eastAsia" w:ascii="Arial" w:hAnsi="Arial" w:eastAsia="Times New Roman" w:cs="Times New Roman"/>
          <w:color w:val="auto"/>
          <w:sz w:val="36"/>
          <w:szCs w:val="20"/>
          <w:lang w:eastAsia="ja-JP"/>
        </w:rPr>
        <w:t>Security Aspects of Indirect Network Sharing</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TBD</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TBD</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p>
        </w:tc>
        <w:tc>
          <w:tcPr>
            <w:tcW w:w="850" w:type="dxa"/>
            <w:tcBorders>
              <w:top w:val="nil"/>
            </w:tcBorders>
          </w:tcPr>
          <w:p>
            <w:pPr>
              <w:pStyle w:val="31"/>
            </w:pPr>
          </w:p>
        </w:tc>
        <w:tc>
          <w:tcPr>
            <w:tcW w:w="851" w:type="dxa"/>
            <w:tcBorders>
              <w:top w:val="nil"/>
            </w:tcBorders>
          </w:tcPr>
          <w:p>
            <w:pPr>
              <w:pStyle w:val="31"/>
            </w:pPr>
            <w: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r>
              <w:t>X</w:t>
            </w:r>
          </w:p>
        </w:tc>
        <w:tc>
          <w:tcPr>
            <w:tcW w:w="1037" w:type="dxa"/>
          </w:tcPr>
          <w:p>
            <w:pPr>
              <w:pStyle w:val="31"/>
            </w:pPr>
            <w:r>
              <w:t>X</w:t>
            </w:r>
          </w:p>
        </w:tc>
        <w:tc>
          <w:tcPr>
            <w:tcW w:w="850" w:type="dxa"/>
          </w:tcPr>
          <w:p>
            <w:pPr>
              <w:pStyle w:val="31"/>
            </w:pPr>
            <w:r>
              <w:t>X</w:t>
            </w:r>
          </w:p>
        </w:tc>
        <w:tc>
          <w:tcPr>
            <w:tcW w:w="851" w:type="dxa"/>
          </w:tcPr>
          <w:p>
            <w:pPr>
              <w:pStyle w:val="31"/>
            </w:pPr>
          </w:p>
        </w:tc>
        <w:tc>
          <w:tcPr>
            <w:tcW w:w="1752" w:type="dxa"/>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t>X</w:t>
            </w: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t>N/A</w:t>
            </w:r>
          </w:p>
        </w:tc>
        <w:tc>
          <w:tcPr>
            <w:tcW w:w="1101" w:type="dxa"/>
          </w:tcPr>
          <w:p>
            <w:pPr>
              <w:pStyle w:val="29"/>
            </w:pPr>
            <w:r>
              <w:t>N/A</w:t>
            </w:r>
          </w:p>
        </w:tc>
        <w:tc>
          <w:tcPr>
            <w:tcW w:w="1101" w:type="dxa"/>
          </w:tcPr>
          <w:p>
            <w:pPr>
              <w:pStyle w:val="29"/>
            </w:pPr>
            <w:r>
              <w:t>N/A</w:t>
            </w:r>
          </w:p>
        </w:tc>
        <w:tc>
          <w:tcPr>
            <w:tcW w:w="6010" w:type="dxa"/>
          </w:tcPr>
          <w:p>
            <w:pPr>
              <w:pStyle w:val="29"/>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top"/>
          </w:tcPr>
          <w:p>
            <w:pPr>
              <w:keepNext w:val="0"/>
              <w:keepLines w:val="0"/>
              <w:widowControl/>
              <w:suppressLineNumbers w:val="0"/>
              <w:jc w:val="righ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950006</w:t>
            </w:r>
          </w:p>
        </w:tc>
        <w:tc>
          <w:tcPr>
            <w:tcW w:w="3326"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top"/>
          </w:tcPr>
          <w:p>
            <w:pPr>
              <w:keepNext w:val="0"/>
              <w:keepLines w:val="0"/>
              <w:widowControl/>
              <w:suppressLineNumbers w:val="0"/>
              <w:jc w:val="lef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 xml:space="preserve">Study on Network Sharing Aspects </w:t>
            </w:r>
          </w:p>
        </w:tc>
        <w:tc>
          <w:tcPr>
            <w:tcW w:w="5099"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top"/>
          </w:tcPr>
          <w:p>
            <w:pPr>
              <w:pStyle w:val="27"/>
              <w:rPr>
                <w:rFonts w:ascii="Arial" w:hAnsi="Arial" w:eastAsia="Times New Roman" w:cs="Times New Roman"/>
                <w:i w:val="0"/>
                <w:iCs/>
                <w:color w:val="000000"/>
                <w:sz w:val="18"/>
                <w:lang w:val="en-GB" w:eastAsia="ja-JP" w:bidi="ar-SA"/>
              </w:rPr>
            </w:pPr>
            <w:r>
              <w:rPr>
                <w:rFonts w:ascii="Arial" w:hAnsi="Arial" w:eastAsia="Times New Roman" w:cs="Times New Roman"/>
                <w:i w:val="0"/>
                <w:iCs/>
                <w:color w:val="000000"/>
                <w:sz w:val="18"/>
                <w:lang w:val="en-GB" w:eastAsia="ja-JP" w:bidi="ar-SA"/>
              </w:rPr>
              <w:t>3GPP SA 1 stage 1 requirements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top"/>
          </w:tcPr>
          <w:p>
            <w:pPr>
              <w:keepNext w:val="0"/>
              <w:keepLines w:val="0"/>
              <w:widowControl/>
              <w:suppressLineNumbers w:val="0"/>
              <w:jc w:val="righ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1000029</w:t>
            </w:r>
          </w:p>
        </w:tc>
        <w:tc>
          <w:tcPr>
            <w:tcW w:w="3326"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top"/>
          </w:tcPr>
          <w:p>
            <w:pPr>
              <w:keepNext w:val="0"/>
              <w:keepLines w:val="0"/>
              <w:widowControl/>
              <w:suppressLineNumbers w:val="0"/>
              <w:jc w:val="left"/>
              <w:textAlignment w:val="top"/>
              <w:rPr>
                <w:rFonts w:ascii="Arial" w:hAnsi="Arial" w:eastAsia="Times New Roman" w:cs="Times New Roman"/>
                <w:color w:val="000000"/>
                <w:sz w:val="18"/>
                <w:lang w:val="en-GB" w:eastAsia="ja-JP" w:bidi="ar-SA"/>
              </w:rPr>
            </w:pPr>
            <w:r>
              <w:rPr>
                <w:rFonts w:hint="default" w:ascii="Arial" w:hAnsi="Arial" w:eastAsia="Times New Roman" w:cs="Times New Roman"/>
                <w:color w:val="000000"/>
                <w:sz w:val="18"/>
                <w:lang w:val="en-US" w:eastAsia="zh-CN" w:bidi="ar-SA"/>
              </w:rPr>
              <w:t xml:space="preserve">Indirect Network Sharing </w:t>
            </w:r>
          </w:p>
        </w:tc>
        <w:tc>
          <w:tcPr>
            <w:tcW w:w="5099"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top"/>
          </w:tcPr>
          <w:p>
            <w:pPr>
              <w:pStyle w:val="27"/>
              <w:rPr>
                <w:rFonts w:ascii="Arial" w:hAnsi="Arial" w:eastAsia="Times New Roman" w:cs="Times New Roman"/>
                <w:i w:val="0"/>
                <w:iCs/>
                <w:color w:val="000000"/>
                <w:sz w:val="18"/>
                <w:lang w:val="en-GB" w:eastAsia="ja-JP" w:bidi="ar-SA"/>
              </w:rPr>
            </w:pPr>
            <w:r>
              <w:rPr>
                <w:rFonts w:ascii="Arial" w:hAnsi="Arial" w:eastAsia="Times New Roman" w:cs="Times New Roman"/>
                <w:i w:val="0"/>
                <w:iCs/>
                <w:color w:val="000000"/>
                <w:sz w:val="18"/>
                <w:lang w:val="en-GB" w:eastAsia="ja-JP" w:bidi="ar-SA"/>
              </w:rPr>
              <w:t>3GPP SA 1 stage 1 requirements</w:t>
            </w:r>
          </w:p>
        </w:tc>
      </w:tr>
    </w:tbl>
    <w:p>
      <w:pPr>
        <w:pStyle w:val="27"/>
        <w:rPr>
          <w:i w:val="0"/>
          <w:iC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rPr>
      </w:pPr>
      <w:r>
        <w:rPr>
          <w:rFonts w:hint="eastAsia"/>
        </w:rPr>
        <w:t xml:space="preserve">The stage 1 requirements </w:t>
      </w:r>
      <w:r>
        <w:rPr>
          <w:rFonts w:hint="eastAsia" w:eastAsia="宋体"/>
          <w:lang w:val="en-US" w:eastAsia="zh-CN"/>
        </w:rPr>
        <w:t xml:space="preserve">of Indirect Network Sharing </w:t>
      </w:r>
      <w:r>
        <w:rPr>
          <w:rFonts w:hint="eastAsia"/>
        </w:rPr>
        <w:t xml:space="preserve">have been documented in TS 22.261 to support RAN sharing without a direct connection between the shared NG-RAN and the participating operator’s core network. </w:t>
      </w:r>
    </w:p>
    <w:p>
      <w:pPr>
        <w:rPr>
          <w:rFonts w:hint="eastAsia" w:eastAsia="宋体"/>
          <w:lang w:val="en-US" w:eastAsia="zh-CN"/>
        </w:rPr>
      </w:pPr>
    </w:p>
    <w:p>
      <w:pPr>
        <w:rPr>
          <w:rFonts w:hint="eastAsia" w:eastAsia="宋体"/>
          <w:lang w:val="en-US" w:eastAsia="zh-CN"/>
        </w:rPr>
      </w:pPr>
      <w:r>
        <w:rPr>
          <w:rFonts w:hint="eastAsia" w:eastAsia="宋体"/>
          <w:lang w:val="en-US" w:eastAsia="zh-CN"/>
        </w:rPr>
        <w:t>SA2 has endorsed a TEI19 work item on Indirect Network Sharing</w:t>
      </w:r>
      <w:r>
        <w:rPr>
          <w:rFonts w:hint="eastAsia"/>
        </w:rPr>
        <w:t xml:space="preserve"> to define the necessary architectural enhancements to enable support of these stage 1 requirements</w:t>
      </w:r>
      <w:r>
        <w:rPr>
          <w:rFonts w:hint="eastAsia" w:eastAsia="宋体"/>
          <w:lang w:val="en-US" w:eastAsia="zh-CN"/>
        </w:rPr>
        <w:t xml:space="preserve"> based on principles:</w:t>
      </w:r>
    </w:p>
    <w:p>
      <w:pPr>
        <w:pStyle w:val="27"/>
        <w:numPr>
          <w:ilvl w:val="0"/>
          <w:numId w:val="1"/>
        </w:numPr>
        <w:rPr>
          <w:highlight w:val="none"/>
          <w:lang w:val="en-CA"/>
        </w:rPr>
      </w:pPr>
      <w:r>
        <w:rPr>
          <w:rFonts w:hint="eastAsia" w:eastAsia="宋体"/>
          <w:lang w:val="en-US" w:eastAsia="zh-CN"/>
        </w:rPr>
        <w:t></w:t>
      </w:r>
      <w:r>
        <w:rPr>
          <w:highlight w:val="none"/>
          <w:lang w:val="en-US"/>
        </w:rPr>
        <w:t>Re-using existing “multiple PLMN support” and “</w:t>
      </w:r>
      <w:r>
        <w:rPr>
          <w:highlight w:val="none"/>
        </w:rPr>
        <w:t>Support of deployments topologies with specific SMF Service Areas</w:t>
      </w:r>
      <w:r>
        <w:rPr>
          <w:highlight w:val="none"/>
          <w:lang w:val="en-US"/>
        </w:rPr>
        <w:t>” functions/features with potential enhancements to address the indirect network sharing;</w:t>
      </w:r>
    </w:p>
    <w:p>
      <w:pPr>
        <w:pStyle w:val="27"/>
        <w:numPr>
          <w:ilvl w:val="1"/>
          <w:numId w:val="1"/>
        </w:numPr>
        <w:rPr>
          <w:highlight w:val="none"/>
          <w:lang w:val="en-CA"/>
        </w:rPr>
      </w:pPr>
      <w:r>
        <w:rPr>
          <w:highlight w:val="none"/>
          <w:lang w:val="en-CA"/>
        </w:rPr>
        <w:t>The definition and architecture of Indirect Network Sharing need to be specified in TS 23.501</w:t>
      </w:r>
      <w:r>
        <w:rPr>
          <w:i w:val="0"/>
          <w:color w:val="auto"/>
          <w:highlight w:val="none"/>
          <w:lang w:eastAsia="en-US"/>
        </w:rPr>
        <w:t xml:space="preserve"> </w:t>
      </w:r>
      <w:r>
        <w:rPr>
          <w:highlight w:val="none"/>
        </w:rPr>
        <w:t>and signalling/procedures updates in TS 23.502</w:t>
      </w:r>
      <w:r>
        <w:rPr>
          <w:highlight w:val="none"/>
          <w:lang w:val="en-CA"/>
        </w:rPr>
        <w:t>.</w:t>
      </w:r>
    </w:p>
    <w:p>
      <w:pPr>
        <w:pStyle w:val="27"/>
        <w:numPr>
          <w:ilvl w:val="1"/>
          <w:numId w:val="1"/>
        </w:numPr>
        <w:rPr>
          <w:highlight w:val="none"/>
          <w:lang w:val="en-CA"/>
        </w:rPr>
      </w:pPr>
      <w:r>
        <w:rPr>
          <w:highlight w:val="none"/>
          <w:lang w:val="en-CA"/>
        </w:rPr>
        <w:t xml:space="preserve">The AMF impacts to support enhanced NF selection function as appropriate, including taking into account location aspects of the UE. </w:t>
      </w:r>
      <w:r>
        <w:rPr>
          <w:highlight w:val="none"/>
          <w:lang w:eastAsia="zh-CN"/>
        </w:rPr>
        <w:t xml:space="preserve"> For example, the SMF selection (i.e., the AMF of hosting operator selects the SMF of participating operator) during the PDU session establishment procedure needs to be evaluated considering the location aspects of the UE.</w:t>
      </w:r>
    </w:p>
    <w:p>
      <w:pPr>
        <w:pStyle w:val="27"/>
        <w:numPr>
          <w:ilvl w:val="1"/>
          <w:numId w:val="1"/>
        </w:numPr>
      </w:pPr>
      <w:r>
        <w:rPr>
          <w:lang w:val="en-CA"/>
        </w:rPr>
        <w:t>The mobility registration update procedure to add the trigger condition based on the selected PLMN ID for the Indirect Network Sharing case.</w:t>
      </w:r>
    </w:p>
    <w:p/>
    <w:p>
      <w:r>
        <w:rPr>
          <w:rFonts w:hint="eastAsia" w:eastAsia="宋体"/>
          <w:lang w:val="en-US" w:eastAsia="zh-CN"/>
        </w:rPr>
        <w:t>I</w:t>
      </w:r>
      <w:r>
        <w:t xml:space="preserve">t is proposed </w:t>
      </w:r>
      <w:r>
        <w:rPr>
          <w:rFonts w:hint="eastAsia" w:eastAsia="宋体"/>
          <w:lang w:val="en-US" w:eastAsia="zh-CN"/>
        </w:rPr>
        <w:t>in SA2</w:t>
      </w:r>
      <w:r>
        <w:rPr>
          <w:rFonts w:hint="default" w:eastAsia="宋体"/>
          <w:lang w:val="en-US" w:eastAsia="zh-CN"/>
        </w:rPr>
        <w:t>’</w:t>
      </w:r>
      <w:r>
        <w:rPr>
          <w:rFonts w:hint="eastAsia" w:eastAsia="宋体"/>
          <w:lang w:val="en-US" w:eastAsia="zh-CN"/>
        </w:rPr>
        <w:t xml:space="preserve">s WID </w:t>
      </w:r>
      <w:r>
        <w:t xml:space="preserve">that SA3 investigates the security and privacy impacts of the SA2 </w:t>
      </w:r>
      <w:r>
        <w:rPr>
          <w:rFonts w:hint="eastAsia" w:eastAsia="宋体"/>
          <w:lang w:val="en-US" w:eastAsia="zh-CN"/>
        </w:rPr>
        <w:t>work</w:t>
      </w:r>
      <w: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7"/>
        <w:numPr>
          <w:ilvl w:val="0"/>
          <w:numId w:val="0"/>
        </w:numPr>
        <w:rPr>
          <w:rFonts w:hint="eastAsia"/>
          <w:i w:val="0"/>
          <w:iCs/>
        </w:rPr>
      </w:pPr>
      <w:r>
        <w:rPr>
          <w:rFonts w:hint="eastAsia"/>
          <w:i w:val="0"/>
          <w:iCs/>
        </w:rPr>
        <w:t xml:space="preserve">This study aims to investigate the security aspects for any potential enhancements to be developed by SA2 for </w:t>
      </w:r>
      <w:r>
        <w:rPr>
          <w:rFonts w:hint="eastAsia" w:eastAsia="宋体"/>
          <w:i w:val="0"/>
          <w:iCs/>
          <w:lang w:val="en-US" w:eastAsia="zh-CN"/>
        </w:rPr>
        <w:t xml:space="preserve">Indirect </w:t>
      </w:r>
      <w:r>
        <w:rPr>
          <w:rFonts w:hint="eastAsia"/>
          <w:i w:val="0"/>
          <w:iCs/>
        </w:rPr>
        <w:t>Network Sharing, with the following objectives:</w:t>
      </w:r>
    </w:p>
    <w:p>
      <w:pPr>
        <w:pStyle w:val="27"/>
        <w:numPr>
          <w:ilvl w:val="0"/>
          <w:numId w:val="0"/>
        </w:numPr>
        <w:ind w:left="360" w:leftChars="0"/>
        <w:rPr>
          <w:rFonts w:hint="eastAsia"/>
          <w:i w:val="0"/>
          <w:iCs/>
        </w:rPr>
      </w:pPr>
      <w:r>
        <w:rPr>
          <w:rFonts w:hint="eastAsia" w:eastAsia="宋体"/>
          <w:i w:val="0"/>
          <w:iCs/>
          <w:lang w:val="en-US" w:eastAsia="zh-CN"/>
        </w:rPr>
        <w:t xml:space="preserve">- WT1: </w:t>
      </w:r>
      <w:r>
        <w:rPr>
          <w:rFonts w:hint="eastAsia"/>
          <w:i w:val="0"/>
          <w:iCs/>
        </w:rPr>
        <w:t xml:space="preserve">Identify the security and privacy issues, threats, and potential requirements for </w:t>
      </w:r>
      <w:r>
        <w:rPr>
          <w:rFonts w:hint="eastAsia" w:eastAsia="宋体"/>
          <w:i w:val="0"/>
          <w:iCs/>
          <w:lang w:val="en-US" w:eastAsia="zh-CN"/>
        </w:rPr>
        <w:t>Indi</w:t>
      </w:r>
      <w:bookmarkStart w:id="2" w:name="_GoBack"/>
      <w:bookmarkEnd w:id="2"/>
      <w:r>
        <w:rPr>
          <w:rFonts w:hint="eastAsia" w:eastAsia="宋体"/>
          <w:i w:val="0"/>
          <w:iCs/>
          <w:lang w:val="en-US" w:eastAsia="zh-CN"/>
        </w:rPr>
        <w:t xml:space="preserve">rect </w:t>
      </w:r>
      <w:r>
        <w:rPr>
          <w:rFonts w:hint="eastAsia"/>
          <w:i w:val="0"/>
          <w:iCs/>
        </w:rPr>
        <w:t>Network Sharing</w:t>
      </w:r>
      <w:r>
        <w:rPr>
          <w:rFonts w:hint="eastAsia" w:eastAsia="宋体"/>
          <w:i w:val="0"/>
          <w:iCs/>
          <w:lang w:val="en-US" w:eastAsia="zh-CN"/>
        </w:rPr>
        <w:t>.</w:t>
      </w:r>
      <w:r>
        <w:rPr>
          <w:highlight w:val="none"/>
          <w:lang w:eastAsia="zh-CN"/>
        </w:rPr>
        <w:t xml:space="preserve"> </w:t>
      </w:r>
      <w:r>
        <w:rPr>
          <w:i w:val="0"/>
          <w:iCs/>
          <w:highlight w:val="none"/>
          <w:lang w:eastAsia="zh-CN"/>
        </w:rPr>
        <w:t xml:space="preserve">(i.e., </w:t>
      </w:r>
      <w:r>
        <w:rPr>
          <w:rFonts w:hint="eastAsia"/>
          <w:i w:val="0"/>
          <w:iCs/>
          <w:highlight w:val="none"/>
          <w:lang w:val="en-US" w:eastAsia="zh-CN"/>
        </w:rPr>
        <w:t>s</w:t>
      </w:r>
      <w:r>
        <w:rPr>
          <w:rFonts w:hint="eastAsia"/>
          <w:i w:val="0"/>
          <w:iCs/>
          <w:highlight w:val="none"/>
          <w:lang w:eastAsia="zh-CN"/>
        </w:rPr>
        <w:t>tudy privacy and security aspects concerning the</w:t>
      </w:r>
      <w:r>
        <w:rPr>
          <w:rFonts w:hint="eastAsia"/>
          <w:i w:val="0"/>
          <w:iCs/>
          <w:highlight w:val="none"/>
          <w:lang w:val="en-US" w:eastAsia="zh-CN"/>
        </w:rPr>
        <w:t xml:space="preserve"> location information of UE used in the SMF selection during the PDU session establishment procedure.)</w:t>
      </w:r>
    </w:p>
    <w:p>
      <w:pPr>
        <w:pStyle w:val="27"/>
        <w:numPr>
          <w:ilvl w:val="0"/>
          <w:numId w:val="0"/>
        </w:numPr>
        <w:ind w:left="360" w:leftChars="0"/>
        <w:rPr>
          <w:rFonts w:hint="eastAsia" w:eastAsia="宋体"/>
          <w:i w:val="0"/>
          <w:iCs/>
          <w:lang w:val="en-US" w:eastAsia="zh-CN"/>
        </w:rPr>
      </w:pPr>
      <w:r>
        <w:rPr>
          <w:rFonts w:hint="eastAsia" w:eastAsia="宋体"/>
          <w:i w:val="0"/>
          <w:iCs/>
          <w:lang w:val="en-US" w:eastAsia="zh-CN"/>
        </w:rPr>
        <w:t xml:space="preserve">- WT2: </w:t>
      </w:r>
      <w:r>
        <w:rPr>
          <w:rFonts w:hint="eastAsia"/>
          <w:i w:val="0"/>
          <w:iCs/>
        </w:rPr>
        <w:t>Study the potential solutions addressing the security and privacy issues</w:t>
      </w:r>
      <w:r>
        <w:rPr>
          <w:rFonts w:hint="eastAsia" w:eastAsia="宋体"/>
          <w:i w:val="0"/>
          <w:iCs/>
          <w:lang w:val="en-US" w:eastAsia="zh-CN"/>
        </w:rPr>
        <w:t>.</w:t>
      </w:r>
    </w:p>
    <w:p>
      <w:pPr>
        <w:pStyle w:val="27"/>
        <w:numPr>
          <w:ilvl w:val="0"/>
          <w:numId w:val="0"/>
        </w:numPr>
        <w:ind w:left="360" w:leftChars="0"/>
        <w:rPr>
          <w:rFonts w:hint="eastAsia" w:eastAsia="宋体"/>
          <w:i w:val="0"/>
          <w:iCs/>
          <w:lang w:val="en-US" w:eastAsia="zh-CN"/>
        </w:rPr>
      </w:pPr>
    </w:p>
    <w:p>
      <w:pPr>
        <w:pStyle w:val="27"/>
        <w:numPr>
          <w:ilvl w:val="0"/>
          <w:numId w:val="0"/>
        </w:numPr>
        <w:ind w:left="360" w:leftChars="0"/>
        <w:rPr>
          <w:rFonts w:hint="eastAsia" w:eastAsia="宋体"/>
          <w:i w:val="0"/>
          <w:iCs/>
          <w:lang w:val="en-US" w:eastAsia="zh-CN"/>
        </w:rPr>
      </w:pPr>
    </w:p>
    <w:p>
      <w:pPr>
        <w:pStyle w:val="27"/>
        <w:numPr>
          <w:ilvl w:val="0"/>
          <w:numId w:val="0"/>
        </w:numPr>
        <w:ind w:left="360" w:leftChars="0"/>
        <w:rPr>
          <w:rFonts w:hint="eastAsia" w:eastAsia="宋体"/>
          <w:i w:val="0"/>
          <w:iCs/>
          <w:lang w:val="en-US" w:eastAsia="zh-CN"/>
        </w:rPr>
      </w:pPr>
    </w:p>
    <w:p>
      <w:pPr>
        <w:pStyle w:val="27"/>
        <w:numPr>
          <w:ilvl w:val="0"/>
          <w:numId w:val="0"/>
        </w:numPr>
        <w:ind w:left="360" w:leftChars="0"/>
        <w:rPr>
          <w:rFonts w:hint="eastAsia" w:eastAsia="宋体"/>
          <w:i w:val="0"/>
          <w:iCs/>
          <w:lang w:val="en-US" w:eastAsia="zh-CN"/>
        </w:rPr>
      </w:pPr>
    </w:p>
    <w:p>
      <w:pPr>
        <w:pStyle w:val="3"/>
      </w:pPr>
      <w:r>
        <w:t>TU estimates and dependencies</w:t>
      </w:r>
    </w:p>
    <w:p/>
    <w:tbl>
      <w:tblPr>
        <w:tblStyle w:val="15"/>
        <w:tblW w:w="918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51"/>
        <w:gridCol w:w="1428"/>
        <w:gridCol w:w="1605"/>
        <w:gridCol w:w="1605"/>
        <w:gridCol w:w="3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bookmarkStart w:id="1" w:name="_2et92p0" w:colFirst="0" w:colLast="0"/>
            <w:bookmarkEnd w:id="1"/>
            <w:r>
              <w:t>Work Task ID</w:t>
            </w:r>
          </w:p>
        </w:tc>
        <w:tc>
          <w:tcPr>
            <w:tcW w:w="1428" w:type="dxa"/>
            <w:shd w:val="clear" w:color="auto" w:fill="auto"/>
          </w:tcPr>
          <w:p>
            <w:r>
              <w:t>TU Estimate</w:t>
            </w:r>
          </w:p>
          <w:p>
            <w:r>
              <w:t>(Study)</w:t>
            </w:r>
          </w:p>
        </w:tc>
        <w:tc>
          <w:tcPr>
            <w:tcW w:w="1605" w:type="dxa"/>
          </w:tcPr>
          <w:p>
            <w:r>
              <w:t>TU Estimate</w:t>
            </w:r>
          </w:p>
          <w:p>
            <w:r>
              <w:t>(Normative)</w:t>
            </w:r>
          </w:p>
        </w:tc>
        <w:tc>
          <w:tcPr>
            <w:tcW w:w="1605" w:type="dxa"/>
          </w:tcPr>
          <w:p>
            <w:r>
              <w:t>RAN Dependency</w:t>
            </w:r>
          </w:p>
          <w:p>
            <w:r>
              <w:t xml:space="preserve">(Yes/No/Maybe) </w:t>
            </w:r>
          </w:p>
        </w:tc>
        <w:tc>
          <w:tcPr>
            <w:tcW w:w="3394" w:type="dxa"/>
          </w:tcPr>
          <w:p>
            <w:r>
              <w:t xml:space="preserve">Inter Work Tasks Dependency </w:t>
            </w:r>
          </w:p>
          <w:p>
            <w:r>
              <w:t>Editor’s Note: This column should highlight if WT#x is self-contained, or is dependent on the completion of other WTs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shd w:val="clear" w:color="auto" w:fill="auto"/>
          </w:tcPr>
          <w:p>
            <w:pPr>
              <w:rPr>
                <w:rFonts w:hint="default" w:eastAsia="宋体"/>
                <w:lang w:val="en-US" w:eastAsia="zh-CN"/>
              </w:rPr>
            </w:pPr>
            <w:r>
              <w:rPr>
                <w:rFonts w:hint="eastAsia" w:eastAsia="宋体"/>
                <w:lang w:val="en-US" w:eastAsia="zh-CN"/>
              </w:rPr>
              <w:t>WT1</w:t>
            </w:r>
          </w:p>
        </w:tc>
        <w:tc>
          <w:tcPr>
            <w:tcW w:w="1428" w:type="dxa"/>
            <w:shd w:val="clear" w:color="auto" w:fill="auto"/>
          </w:tcPr>
          <w:p>
            <w:r>
              <w:rPr>
                <w:rFonts w:hint="eastAsia" w:eastAsia="宋体"/>
                <w:lang w:val="en-US" w:eastAsia="zh-CN"/>
              </w:rPr>
              <w:t>1</w:t>
            </w:r>
            <w:r>
              <w:t xml:space="preserve"> </w:t>
            </w:r>
          </w:p>
        </w:tc>
        <w:tc>
          <w:tcPr>
            <w:tcW w:w="1605" w:type="dxa"/>
            <w:vMerge w:val="restart"/>
          </w:tcPr>
          <w:p>
            <w:r>
              <w:rPr>
                <w:rFonts w:hint="eastAsia" w:eastAsia="宋体"/>
                <w:lang w:val="en-US" w:eastAsia="zh-CN"/>
              </w:rPr>
              <w:t>1</w:t>
            </w:r>
          </w:p>
        </w:tc>
        <w:tc>
          <w:tcPr>
            <w:tcW w:w="1605" w:type="dxa"/>
            <w:vMerge w:val="restart"/>
          </w:tcPr>
          <w:p>
            <w:r>
              <w:t>No</w:t>
            </w:r>
          </w:p>
        </w:tc>
        <w:tc>
          <w:tcPr>
            <w:tcW w:w="3394" w:type="dxa"/>
            <w:vMerge w:val="restart"/>
          </w:tcPr>
          <w:p>
            <w:pPr>
              <w:rPr>
                <w:rFonts w:hint="default" w:eastAsia="宋体"/>
                <w:lang w:val="en-US" w:eastAsia="zh-CN"/>
              </w:rPr>
            </w:pPr>
            <w:r>
              <w:rPr>
                <w:rFonts w:hint="eastAsia" w:eastAsia="宋体"/>
                <w:lang w:val="en-US" w:eastAsia="zh-CN"/>
              </w:rPr>
              <w:t>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pPr>
              <w:rPr>
                <w:rFonts w:hint="default" w:eastAsia="宋体"/>
                <w:lang w:val="en-US" w:eastAsia="zh-CN"/>
              </w:rPr>
            </w:pPr>
            <w:r>
              <w:rPr>
                <w:rFonts w:hint="eastAsia" w:eastAsia="宋体"/>
                <w:lang w:val="en-US" w:eastAsia="zh-CN"/>
              </w:rPr>
              <w:t>WT2</w:t>
            </w:r>
          </w:p>
        </w:tc>
        <w:tc>
          <w:tcPr>
            <w:tcW w:w="1428" w:type="dxa"/>
            <w:shd w:val="clear" w:color="auto" w:fill="auto"/>
          </w:tcPr>
          <w:p>
            <w:pPr>
              <w:rPr>
                <w:rFonts w:hint="default" w:eastAsia="宋体"/>
                <w:lang w:val="en-US" w:eastAsia="zh-CN"/>
              </w:rPr>
            </w:pPr>
            <w:r>
              <w:rPr>
                <w:rFonts w:hint="eastAsia" w:eastAsia="宋体"/>
                <w:lang w:val="en-US" w:eastAsia="zh-CN"/>
              </w:rPr>
              <w:t>0.5</w:t>
            </w:r>
          </w:p>
        </w:tc>
        <w:tc>
          <w:tcPr>
            <w:tcW w:w="1605" w:type="dxa"/>
            <w:vMerge w:val="continue"/>
          </w:tcPr>
          <w:p/>
        </w:tc>
        <w:tc>
          <w:tcPr>
            <w:tcW w:w="1605" w:type="dxa"/>
            <w:vMerge w:val="continue"/>
            <w:tcBorders/>
          </w:tcPr>
          <w:p/>
        </w:tc>
        <w:tc>
          <w:tcPr>
            <w:tcW w:w="3394" w:type="dxa"/>
            <w:vMerge w:val="continue"/>
            <w:tcBorders/>
          </w:tcPr>
          <w:p/>
        </w:tc>
      </w:tr>
    </w:tbl>
    <w:p/>
    <w:p>
      <w:r>
        <w:t xml:space="preserve">Total TU estimates for the study phase: </w:t>
      </w:r>
      <w:r>
        <w:rPr>
          <w:rFonts w:hint="eastAsia" w:eastAsia="宋体"/>
          <w:lang w:val="en-US" w:eastAsia="zh-CN"/>
        </w:rPr>
        <w:t>1.5</w:t>
      </w:r>
      <w:r>
        <w:t xml:space="preserve"> </w:t>
      </w:r>
    </w:p>
    <w:p>
      <w:r>
        <w:t xml:space="preserve">Total TU estimates for the normative phase: </w:t>
      </w:r>
      <w:r>
        <w:rPr>
          <w:rFonts w:hint="eastAsia" w:eastAsia="宋体"/>
          <w:lang w:val="en-US" w:eastAsia="zh-CN"/>
        </w:rPr>
        <w:t>1</w:t>
      </w:r>
    </w:p>
    <w:p>
      <w:pPr>
        <w:rPr>
          <w:rFonts w:hint="default" w:eastAsia="宋体"/>
          <w:lang w:val="en-US" w:eastAsia="zh-CN"/>
        </w:rPr>
      </w:pPr>
      <w:r>
        <w:t xml:space="preserve">Total TU estimates: </w:t>
      </w:r>
      <w:r>
        <w:rPr>
          <w:rFonts w:hint="eastAsia" w:eastAsia="宋体"/>
          <w:lang w:val="en-US" w:eastAsia="zh-CN"/>
        </w:rPr>
        <w:t>2.5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8D8D8" w:themeFill="background1" w:themeFillShade="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8D8D8" w:themeFill="background1" w:themeFillShade="D9"/>
            <w:tcMar>
              <w:left w:w="57" w:type="dxa"/>
              <w:right w:w="57" w:type="dxa"/>
            </w:tcMar>
          </w:tcPr>
          <w:p>
            <w:pPr>
              <w:pStyle w:val="30"/>
            </w:pPr>
            <w:r>
              <w:t xml:space="preserve">Type </w:t>
            </w:r>
          </w:p>
        </w:tc>
        <w:tc>
          <w:tcPr>
            <w:tcW w:w="1134" w:type="dxa"/>
            <w:shd w:val="clear" w:color="auto" w:fill="D8D8D8" w:themeFill="background1" w:themeFillShade="D9"/>
            <w:tcMar>
              <w:left w:w="57" w:type="dxa"/>
              <w:right w:w="57" w:type="dxa"/>
            </w:tcMar>
          </w:tcPr>
          <w:p>
            <w:pPr>
              <w:pStyle w:val="30"/>
            </w:pPr>
            <w:r>
              <w:t>TS/TR number</w:t>
            </w:r>
          </w:p>
        </w:tc>
        <w:tc>
          <w:tcPr>
            <w:tcW w:w="2409" w:type="dxa"/>
            <w:shd w:val="clear" w:color="auto" w:fill="D8D8D8" w:themeFill="background1" w:themeFillShade="D9"/>
            <w:tcMar>
              <w:left w:w="57" w:type="dxa"/>
              <w:right w:w="57" w:type="dxa"/>
            </w:tcMar>
          </w:tcPr>
          <w:p>
            <w:pPr>
              <w:pStyle w:val="30"/>
            </w:pPr>
            <w:r>
              <w:t>Title</w:t>
            </w:r>
          </w:p>
        </w:tc>
        <w:tc>
          <w:tcPr>
            <w:tcW w:w="993" w:type="dxa"/>
            <w:shd w:val="clear" w:color="auto" w:fill="D8D8D8" w:themeFill="background1" w:themeFillShade="D9"/>
            <w:tcMar>
              <w:left w:w="57" w:type="dxa"/>
              <w:right w:w="57" w:type="dxa"/>
            </w:tcMar>
          </w:tcPr>
          <w:p>
            <w:pPr>
              <w:pStyle w:val="30"/>
            </w:pPr>
            <w:r>
              <w:t xml:space="preserve">For info </w:t>
            </w:r>
            <w:r>
              <w:br w:type="textWrapping"/>
            </w:r>
            <w:r>
              <w:t xml:space="preserve">at TSG# </w:t>
            </w:r>
          </w:p>
        </w:tc>
        <w:tc>
          <w:tcPr>
            <w:tcW w:w="1074" w:type="dxa"/>
            <w:shd w:val="clear" w:color="auto" w:fill="D8D8D8" w:themeFill="background1" w:themeFillShade="D9"/>
            <w:tcMar>
              <w:left w:w="57" w:type="dxa"/>
              <w:right w:w="57" w:type="dxa"/>
            </w:tcMar>
          </w:tcPr>
          <w:p>
            <w:pPr>
              <w:pStyle w:val="30"/>
            </w:pPr>
            <w:r>
              <w:t>For approval at TSG#</w:t>
            </w:r>
          </w:p>
        </w:tc>
        <w:tc>
          <w:tcPr>
            <w:tcW w:w="2186" w:type="dxa"/>
            <w:shd w:val="clear" w:color="auto" w:fill="D8D8D8" w:themeFill="background1" w:themeFillShade="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spacing w:after="0"/>
              <w:rPr>
                <w:i w:val="0"/>
                <w:iCs/>
              </w:rPr>
            </w:pPr>
            <w:r>
              <w:rPr>
                <w:i w:val="0"/>
                <w:iCs/>
              </w:rPr>
              <w:t>Internal TR</w:t>
            </w:r>
          </w:p>
        </w:tc>
        <w:tc>
          <w:tcPr>
            <w:tcW w:w="1134" w:type="dxa"/>
          </w:tcPr>
          <w:p>
            <w:pPr>
              <w:pStyle w:val="27"/>
              <w:spacing w:after="0"/>
              <w:rPr>
                <w:i w:val="0"/>
                <w:iCs/>
              </w:rPr>
            </w:pPr>
            <w:r>
              <w:rPr>
                <w:i w:val="0"/>
                <w:iCs/>
              </w:rPr>
              <w:t>TR 33.xxx</w:t>
            </w:r>
          </w:p>
        </w:tc>
        <w:tc>
          <w:tcPr>
            <w:tcW w:w="2409" w:type="dxa"/>
          </w:tcPr>
          <w:p>
            <w:pPr>
              <w:pStyle w:val="27"/>
              <w:spacing w:after="0"/>
              <w:rPr>
                <w:i w:val="0"/>
                <w:iCs/>
              </w:rPr>
            </w:pPr>
            <w:r>
              <w:rPr>
                <w:rFonts w:hint="eastAsia"/>
                <w:i w:val="0"/>
                <w:iCs/>
              </w:rPr>
              <w:t>Study on Security Aspects of Indirect Network Sharing</w:t>
            </w:r>
          </w:p>
        </w:tc>
        <w:tc>
          <w:tcPr>
            <w:tcW w:w="993" w:type="dxa"/>
          </w:tcPr>
          <w:p>
            <w:pPr>
              <w:pStyle w:val="27"/>
              <w:spacing w:after="0"/>
              <w:rPr>
                <w:rFonts w:hint="default" w:eastAsia="宋体"/>
                <w:i w:val="0"/>
                <w:iCs/>
                <w:lang w:val="en-US" w:eastAsia="zh-CN"/>
              </w:rPr>
            </w:pPr>
            <w:r>
              <w:rPr>
                <w:rFonts w:hint="eastAsia" w:eastAsia="宋体"/>
                <w:i w:val="0"/>
                <w:iCs/>
                <w:lang w:val="en-US" w:eastAsia="zh-CN"/>
              </w:rPr>
              <w:t>TBD</w:t>
            </w:r>
          </w:p>
        </w:tc>
        <w:tc>
          <w:tcPr>
            <w:tcW w:w="1074" w:type="dxa"/>
          </w:tcPr>
          <w:p>
            <w:pPr>
              <w:pStyle w:val="27"/>
              <w:spacing w:after="0"/>
              <w:rPr>
                <w:rFonts w:hint="default" w:eastAsia="宋体"/>
                <w:i w:val="0"/>
                <w:iCs/>
                <w:lang w:val="en-US" w:eastAsia="zh-CN"/>
              </w:rPr>
            </w:pPr>
            <w:r>
              <w:rPr>
                <w:rFonts w:hint="eastAsia" w:eastAsia="宋体"/>
                <w:i w:val="0"/>
                <w:iCs/>
                <w:lang w:val="en-US" w:eastAsia="zh-CN"/>
              </w:rPr>
              <w:t>TBD</w:t>
            </w:r>
          </w:p>
        </w:tc>
        <w:tc>
          <w:tcPr>
            <w:tcW w:w="2186" w:type="dxa"/>
          </w:tcPr>
          <w:p>
            <w:pPr>
              <w:pStyle w:val="27"/>
              <w:spacing w:after="0"/>
              <w:rPr>
                <w:rFonts w:hint="default" w:eastAsia="宋体"/>
                <w:i w:val="0"/>
                <w:lang w:val="en-US" w:eastAsia="zh-CN"/>
              </w:rPr>
            </w:pPr>
            <w:r>
              <w:rPr>
                <w:rFonts w:hint="eastAsia" w:eastAsia="宋体"/>
                <w:i w:val="0"/>
                <w:lang w:val="en-US" w:eastAsia="zh-CN"/>
              </w:rPr>
              <w:t>TBD</w:t>
            </w:r>
          </w:p>
        </w:tc>
      </w:tr>
    </w:tbl>
    <w:p>
      <w:pPr>
        <w:pStyle w:val="32"/>
      </w:pPr>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spacing w:after="0"/>
              <w:rPr>
                <w:i w:val="0"/>
                <w:iCs/>
              </w:rPr>
            </w:pPr>
          </w:p>
        </w:tc>
        <w:tc>
          <w:tcPr>
            <w:tcW w:w="4344" w:type="dxa"/>
            <w:tcBorders>
              <w:top w:val="single" w:color="auto" w:sz="4" w:space="0"/>
              <w:left w:val="single" w:color="auto" w:sz="4" w:space="0"/>
              <w:bottom w:val="single" w:color="auto" w:sz="4" w:space="0"/>
              <w:right w:val="single" w:color="auto" w:sz="4" w:space="0"/>
            </w:tcBorders>
          </w:tcPr>
          <w:p>
            <w:pPr>
              <w:pStyle w:val="27"/>
              <w:spacing w:after="0"/>
              <w:rPr>
                <w:i w:val="0"/>
                <w:iCs/>
              </w:rPr>
            </w:pPr>
          </w:p>
        </w:tc>
        <w:tc>
          <w:tcPr>
            <w:tcW w:w="1417" w:type="dxa"/>
            <w:tcBorders>
              <w:top w:val="single" w:color="auto" w:sz="4" w:space="0"/>
              <w:left w:val="single" w:color="auto" w:sz="4" w:space="0"/>
              <w:bottom w:val="single" w:color="auto" w:sz="4" w:space="0"/>
              <w:right w:val="single" w:color="auto" w:sz="4" w:space="0"/>
            </w:tcBorders>
          </w:tcPr>
          <w:p>
            <w:pPr>
              <w:pStyle w:val="27"/>
              <w:spacing w:after="0"/>
              <w:rPr>
                <w:i w:val="0"/>
                <w:iCs/>
              </w:rPr>
            </w:pPr>
          </w:p>
        </w:tc>
        <w:tc>
          <w:tcPr>
            <w:tcW w:w="2101" w:type="dxa"/>
            <w:tcBorders>
              <w:top w:val="single" w:color="auto" w:sz="4" w:space="0"/>
              <w:left w:val="single" w:color="auto" w:sz="4" w:space="0"/>
              <w:bottom w:val="single" w:color="auto" w:sz="4" w:space="0"/>
              <w:right w:val="single" w:color="auto" w:sz="4" w:space="0"/>
            </w:tcBorders>
          </w:tcPr>
          <w:p>
            <w:pPr>
              <w:pStyle w:val="27"/>
              <w:spacing w:after="0"/>
              <w:rPr>
                <w:i w:val="0"/>
                <w:iCs/>
              </w:rPr>
            </w:pPr>
          </w:p>
        </w:tc>
      </w:tr>
    </w:tbl>
    <w:p/>
    <w:p>
      <w:r>
        <w:tab/>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rPr>
          <w:rFonts w:hint="default"/>
          <w:i w:val="0"/>
          <w:iCs/>
          <w:lang w:val="en-US" w:eastAsia="zh-CN"/>
        </w:rPr>
      </w:pPr>
      <w:r>
        <w:rPr>
          <w:rFonts w:hint="eastAsia"/>
          <w:i w:val="0"/>
          <w:iCs/>
          <w:lang w:val="en-US" w:eastAsia="zh-CN"/>
        </w:rPr>
        <w:t>TBD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7"/>
        <w:rPr>
          <w:i w:val="0"/>
          <w:iCs/>
        </w:rPr>
      </w:pPr>
      <w:r>
        <w:rPr>
          <w:i w:val="0"/>
          <w:iCs/>
        </w:rP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7"/>
        <w:rPr>
          <w:i w:val="0"/>
        </w:rPr>
      </w:pPr>
      <w:r>
        <w:rPr>
          <w:i w:val="0"/>
        </w:rPr>
        <w:t>Architecture aspects covered by 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7"/>
        <w:rPr>
          <w:i w:val="0"/>
          <w:iCs/>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r>
              <w:rPr>
                <w:rFonts w:eastAsia="Malgun Gothic" w:cs="Arial"/>
                <w:szCs w:val="18"/>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eastAsia" w:eastAsia="宋体"/>
                <w:lang w:val="en-US"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Batang">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F0262"/>
    <w:multiLevelType w:val="multilevel"/>
    <w:tmpl w:val="594F026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C2713"/>
    <w:rsid w:val="000D6D78"/>
    <w:rsid w:val="000E0178"/>
    <w:rsid w:val="000E0429"/>
    <w:rsid w:val="000E0437"/>
    <w:rsid w:val="000E501F"/>
    <w:rsid w:val="000F6E51"/>
    <w:rsid w:val="00102A24"/>
    <w:rsid w:val="001051AB"/>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5421"/>
    <w:rsid w:val="001B650D"/>
    <w:rsid w:val="001C4D9B"/>
    <w:rsid w:val="001D0B09"/>
    <w:rsid w:val="001D3631"/>
    <w:rsid w:val="001D721A"/>
    <w:rsid w:val="001E489F"/>
    <w:rsid w:val="001E6729"/>
    <w:rsid w:val="001F6569"/>
    <w:rsid w:val="001F7653"/>
    <w:rsid w:val="0020659B"/>
    <w:rsid w:val="002070CB"/>
    <w:rsid w:val="00221438"/>
    <w:rsid w:val="002336A6"/>
    <w:rsid w:val="002336BF"/>
    <w:rsid w:val="00235F9B"/>
    <w:rsid w:val="00236BBA"/>
    <w:rsid w:val="00236D1F"/>
    <w:rsid w:val="002407FF"/>
    <w:rsid w:val="00241A03"/>
    <w:rsid w:val="00243051"/>
    <w:rsid w:val="002474EC"/>
    <w:rsid w:val="002505CE"/>
    <w:rsid w:val="00250846"/>
    <w:rsid w:val="00250F58"/>
    <w:rsid w:val="00253892"/>
    <w:rsid w:val="002541D3"/>
    <w:rsid w:val="00256429"/>
    <w:rsid w:val="0026253E"/>
    <w:rsid w:val="00272890"/>
    <w:rsid w:val="00272D61"/>
    <w:rsid w:val="00274BA3"/>
    <w:rsid w:val="00285C1B"/>
    <w:rsid w:val="002919B7"/>
    <w:rsid w:val="00291EF2"/>
    <w:rsid w:val="00295D61"/>
    <w:rsid w:val="00297C1F"/>
    <w:rsid w:val="002B074C"/>
    <w:rsid w:val="002B2FE7"/>
    <w:rsid w:val="002B34EA"/>
    <w:rsid w:val="002B5361"/>
    <w:rsid w:val="002C1BA4"/>
    <w:rsid w:val="002C47B8"/>
    <w:rsid w:val="002D542B"/>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2161"/>
    <w:rsid w:val="00400127"/>
    <w:rsid w:val="004008D7"/>
    <w:rsid w:val="0040145D"/>
    <w:rsid w:val="00405A06"/>
    <w:rsid w:val="00411339"/>
    <w:rsid w:val="004131BD"/>
    <w:rsid w:val="004159BE"/>
    <w:rsid w:val="00416CEA"/>
    <w:rsid w:val="00421AFD"/>
    <w:rsid w:val="00423015"/>
    <w:rsid w:val="004246F2"/>
    <w:rsid w:val="004313A3"/>
    <w:rsid w:val="00432048"/>
    <w:rsid w:val="00442C65"/>
    <w:rsid w:val="00451122"/>
    <w:rsid w:val="004518DB"/>
    <w:rsid w:val="004562FC"/>
    <w:rsid w:val="0046281D"/>
    <w:rsid w:val="00477EBC"/>
    <w:rsid w:val="00482246"/>
    <w:rsid w:val="00484421"/>
    <w:rsid w:val="00491391"/>
    <w:rsid w:val="004A01BD"/>
    <w:rsid w:val="004A0747"/>
    <w:rsid w:val="004A0A73"/>
    <w:rsid w:val="004A180A"/>
    <w:rsid w:val="004A661C"/>
    <w:rsid w:val="004C3AF2"/>
    <w:rsid w:val="004C44E6"/>
    <w:rsid w:val="004C4C9B"/>
    <w:rsid w:val="004D2FA0"/>
    <w:rsid w:val="004E1010"/>
    <w:rsid w:val="004E290E"/>
    <w:rsid w:val="004F2ABA"/>
    <w:rsid w:val="004F3302"/>
    <w:rsid w:val="004F4172"/>
    <w:rsid w:val="0050202A"/>
    <w:rsid w:val="00502CC7"/>
    <w:rsid w:val="00507903"/>
    <w:rsid w:val="00510F09"/>
    <w:rsid w:val="0052032E"/>
    <w:rsid w:val="00521896"/>
    <w:rsid w:val="00522A80"/>
    <w:rsid w:val="005318F8"/>
    <w:rsid w:val="00535A39"/>
    <w:rsid w:val="005440BF"/>
    <w:rsid w:val="00544D8F"/>
    <w:rsid w:val="00553BDE"/>
    <w:rsid w:val="00556F13"/>
    <w:rsid w:val="00562495"/>
    <w:rsid w:val="00572097"/>
    <w:rsid w:val="0057401B"/>
    <w:rsid w:val="00577727"/>
    <w:rsid w:val="005777AF"/>
    <w:rsid w:val="00585587"/>
    <w:rsid w:val="00586562"/>
    <w:rsid w:val="00590B24"/>
    <w:rsid w:val="005918E2"/>
    <w:rsid w:val="00593DC4"/>
    <w:rsid w:val="0059402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DE6"/>
    <w:rsid w:val="005D60FD"/>
    <w:rsid w:val="005E07CB"/>
    <w:rsid w:val="005E0BF8"/>
    <w:rsid w:val="005E32BB"/>
    <w:rsid w:val="005E7235"/>
    <w:rsid w:val="005F041C"/>
    <w:rsid w:val="005F2E94"/>
    <w:rsid w:val="005F4B34"/>
    <w:rsid w:val="005F6FA4"/>
    <w:rsid w:val="00603B48"/>
    <w:rsid w:val="0060764B"/>
    <w:rsid w:val="00616E18"/>
    <w:rsid w:val="00620287"/>
    <w:rsid w:val="00621FEC"/>
    <w:rsid w:val="00623AED"/>
    <w:rsid w:val="0062580F"/>
    <w:rsid w:val="00632157"/>
    <w:rsid w:val="00633971"/>
    <w:rsid w:val="006341C6"/>
    <w:rsid w:val="0064121E"/>
    <w:rsid w:val="006425F1"/>
    <w:rsid w:val="00642894"/>
    <w:rsid w:val="00660354"/>
    <w:rsid w:val="006606DB"/>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700A59"/>
    <w:rsid w:val="0070453C"/>
    <w:rsid w:val="00710142"/>
    <w:rsid w:val="00712E81"/>
    <w:rsid w:val="00715590"/>
    <w:rsid w:val="00723919"/>
    <w:rsid w:val="007261D3"/>
    <w:rsid w:val="00733E86"/>
    <w:rsid w:val="0074596C"/>
    <w:rsid w:val="00750D12"/>
    <w:rsid w:val="00756BBB"/>
    <w:rsid w:val="00761952"/>
    <w:rsid w:val="00761B9B"/>
    <w:rsid w:val="00762474"/>
    <w:rsid w:val="0076439E"/>
    <w:rsid w:val="00777938"/>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046C"/>
    <w:rsid w:val="007D3C7C"/>
    <w:rsid w:val="007D687A"/>
    <w:rsid w:val="007E1BA0"/>
    <w:rsid w:val="007E6A87"/>
    <w:rsid w:val="007F2297"/>
    <w:rsid w:val="007F55EC"/>
    <w:rsid w:val="007F6574"/>
    <w:rsid w:val="00825642"/>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81D79"/>
    <w:rsid w:val="00897C84"/>
    <w:rsid w:val="008A06BE"/>
    <w:rsid w:val="008A56FD"/>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96A"/>
    <w:rsid w:val="009B49B3"/>
    <w:rsid w:val="009D5E48"/>
    <w:rsid w:val="009D6D9F"/>
    <w:rsid w:val="009E0B41"/>
    <w:rsid w:val="009E1910"/>
    <w:rsid w:val="009E2DEA"/>
    <w:rsid w:val="009E5DBA"/>
    <w:rsid w:val="009E636B"/>
    <w:rsid w:val="009F2552"/>
    <w:rsid w:val="009F6047"/>
    <w:rsid w:val="00A03D2A"/>
    <w:rsid w:val="00A10ADB"/>
    <w:rsid w:val="00A144AB"/>
    <w:rsid w:val="00A151A1"/>
    <w:rsid w:val="00A17F01"/>
    <w:rsid w:val="00A24557"/>
    <w:rsid w:val="00A248B2"/>
    <w:rsid w:val="00A267D7"/>
    <w:rsid w:val="00A27A64"/>
    <w:rsid w:val="00A37F80"/>
    <w:rsid w:val="00A439F6"/>
    <w:rsid w:val="00A46B3F"/>
    <w:rsid w:val="00A46F30"/>
    <w:rsid w:val="00A61169"/>
    <w:rsid w:val="00A63024"/>
    <w:rsid w:val="00A65602"/>
    <w:rsid w:val="00A72EB3"/>
    <w:rsid w:val="00A8240B"/>
    <w:rsid w:val="00A82923"/>
    <w:rsid w:val="00A82FCC"/>
    <w:rsid w:val="00A8479D"/>
    <w:rsid w:val="00A906A4"/>
    <w:rsid w:val="00A97953"/>
    <w:rsid w:val="00AA574E"/>
    <w:rsid w:val="00AB0F35"/>
    <w:rsid w:val="00AC3B22"/>
    <w:rsid w:val="00AD13B9"/>
    <w:rsid w:val="00AD324E"/>
    <w:rsid w:val="00AD4222"/>
    <w:rsid w:val="00AD5B51"/>
    <w:rsid w:val="00AD7B78"/>
    <w:rsid w:val="00AF4118"/>
    <w:rsid w:val="00AF783F"/>
    <w:rsid w:val="00B00077"/>
    <w:rsid w:val="00B03107"/>
    <w:rsid w:val="00B10820"/>
    <w:rsid w:val="00B16E03"/>
    <w:rsid w:val="00B1749C"/>
    <w:rsid w:val="00B246D7"/>
    <w:rsid w:val="00B278AD"/>
    <w:rsid w:val="00B30214"/>
    <w:rsid w:val="00B3526C"/>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37B6"/>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1A42"/>
    <w:rsid w:val="00C52914"/>
    <w:rsid w:val="00C5567D"/>
    <w:rsid w:val="00C57781"/>
    <w:rsid w:val="00C63F06"/>
    <w:rsid w:val="00C6590B"/>
    <w:rsid w:val="00C7131F"/>
    <w:rsid w:val="00C76753"/>
    <w:rsid w:val="00C8586A"/>
    <w:rsid w:val="00CA2B4F"/>
    <w:rsid w:val="00CA5DB0"/>
    <w:rsid w:val="00CC084E"/>
    <w:rsid w:val="00CC58ED"/>
    <w:rsid w:val="00CC780F"/>
    <w:rsid w:val="00CD43BD"/>
    <w:rsid w:val="00CE20C9"/>
    <w:rsid w:val="00CE2766"/>
    <w:rsid w:val="00CE7C75"/>
    <w:rsid w:val="00D0135E"/>
    <w:rsid w:val="00D145EC"/>
    <w:rsid w:val="00D355FB"/>
    <w:rsid w:val="00D43C0B"/>
    <w:rsid w:val="00D44193"/>
    <w:rsid w:val="00D44A74"/>
    <w:rsid w:val="00D521A9"/>
    <w:rsid w:val="00D57CD2"/>
    <w:rsid w:val="00D57E66"/>
    <w:rsid w:val="00D603D8"/>
    <w:rsid w:val="00D73350"/>
    <w:rsid w:val="00D82231"/>
    <w:rsid w:val="00D8756E"/>
    <w:rsid w:val="00D938DD"/>
    <w:rsid w:val="00D95EAB"/>
    <w:rsid w:val="00D974EA"/>
    <w:rsid w:val="00DA29AC"/>
    <w:rsid w:val="00DA329A"/>
    <w:rsid w:val="00DB521B"/>
    <w:rsid w:val="00DC0F52"/>
    <w:rsid w:val="00DC27D4"/>
    <w:rsid w:val="00DC4726"/>
    <w:rsid w:val="00DD0AAB"/>
    <w:rsid w:val="00DD3C66"/>
    <w:rsid w:val="00DD40D2"/>
    <w:rsid w:val="00DE5BBF"/>
    <w:rsid w:val="00DF01BE"/>
    <w:rsid w:val="00DF43A7"/>
    <w:rsid w:val="00E013A9"/>
    <w:rsid w:val="00E03A99"/>
    <w:rsid w:val="00E041CD"/>
    <w:rsid w:val="00E053E5"/>
    <w:rsid w:val="00E06534"/>
    <w:rsid w:val="00E126A5"/>
    <w:rsid w:val="00E1463F"/>
    <w:rsid w:val="00E34AA9"/>
    <w:rsid w:val="00E363A9"/>
    <w:rsid w:val="00E36B96"/>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076"/>
    <w:rsid w:val="00EF0942"/>
    <w:rsid w:val="00EF291F"/>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31C"/>
    <w:rsid w:val="00F82A04"/>
    <w:rsid w:val="00F83DF3"/>
    <w:rsid w:val="00F941B8"/>
    <w:rsid w:val="00FA5FA5"/>
    <w:rsid w:val="00FA6721"/>
    <w:rsid w:val="00FA7365"/>
    <w:rsid w:val="00FA79A7"/>
    <w:rsid w:val="00FB0D02"/>
    <w:rsid w:val="00FC643D"/>
    <w:rsid w:val="00FD1DAF"/>
    <w:rsid w:val="00FD20CD"/>
    <w:rsid w:val="00FD5792"/>
    <w:rsid w:val="00FE3DCC"/>
    <w:rsid w:val="00FE53C8"/>
    <w:rsid w:val="00FE5FB7"/>
    <w:rsid w:val="01722228"/>
    <w:rsid w:val="0255B439"/>
    <w:rsid w:val="03261114"/>
    <w:rsid w:val="03BAC62A"/>
    <w:rsid w:val="03CF3FAA"/>
    <w:rsid w:val="06171A65"/>
    <w:rsid w:val="0624D952"/>
    <w:rsid w:val="06FBD700"/>
    <w:rsid w:val="071C1AB9"/>
    <w:rsid w:val="076C2910"/>
    <w:rsid w:val="08F81FC4"/>
    <w:rsid w:val="0A164C9A"/>
    <w:rsid w:val="0B9B5F9A"/>
    <w:rsid w:val="0C181963"/>
    <w:rsid w:val="0C435178"/>
    <w:rsid w:val="0C4AE3A5"/>
    <w:rsid w:val="0C8219C3"/>
    <w:rsid w:val="0D53002E"/>
    <w:rsid w:val="0D7F207A"/>
    <w:rsid w:val="0DE82E1A"/>
    <w:rsid w:val="0F2C22FA"/>
    <w:rsid w:val="0F973A4F"/>
    <w:rsid w:val="0FA06BAC"/>
    <w:rsid w:val="0FA22F96"/>
    <w:rsid w:val="10175E4D"/>
    <w:rsid w:val="112F4172"/>
    <w:rsid w:val="1158804E"/>
    <w:rsid w:val="11C3CA95"/>
    <w:rsid w:val="12117264"/>
    <w:rsid w:val="127136A9"/>
    <w:rsid w:val="1333FB18"/>
    <w:rsid w:val="13A57998"/>
    <w:rsid w:val="151AA666"/>
    <w:rsid w:val="1583F774"/>
    <w:rsid w:val="160CFD00"/>
    <w:rsid w:val="16C46B16"/>
    <w:rsid w:val="17807A86"/>
    <w:rsid w:val="18740C91"/>
    <w:rsid w:val="19EE1789"/>
    <w:rsid w:val="1AA5DCC3"/>
    <w:rsid w:val="1D4A1397"/>
    <w:rsid w:val="1F6DCB75"/>
    <w:rsid w:val="1F80D8EB"/>
    <w:rsid w:val="202B5875"/>
    <w:rsid w:val="213C24EC"/>
    <w:rsid w:val="21866A75"/>
    <w:rsid w:val="232F4807"/>
    <w:rsid w:val="2371DF39"/>
    <w:rsid w:val="2437EE4C"/>
    <w:rsid w:val="24A8F0DA"/>
    <w:rsid w:val="24D40D7C"/>
    <w:rsid w:val="26FB2BAA"/>
    <w:rsid w:val="2725A876"/>
    <w:rsid w:val="275FA979"/>
    <w:rsid w:val="28042583"/>
    <w:rsid w:val="2A355C22"/>
    <w:rsid w:val="2C3F33D0"/>
    <w:rsid w:val="2D76E678"/>
    <w:rsid w:val="2F526874"/>
    <w:rsid w:val="317BF95C"/>
    <w:rsid w:val="32DAD54E"/>
    <w:rsid w:val="32EA8210"/>
    <w:rsid w:val="330E74BE"/>
    <w:rsid w:val="33562697"/>
    <w:rsid w:val="33DC3E68"/>
    <w:rsid w:val="33F11B61"/>
    <w:rsid w:val="3401708E"/>
    <w:rsid w:val="35B06E1D"/>
    <w:rsid w:val="38062384"/>
    <w:rsid w:val="38286B89"/>
    <w:rsid w:val="3853CD5C"/>
    <w:rsid w:val="38F0EB9E"/>
    <w:rsid w:val="39EC9C56"/>
    <w:rsid w:val="3AA35B8B"/>
    <w:rsid w:val="3B9C6D4B"/>
    <w:rsid w:val="3CBF08B8"/>
    <w:rsid w:val="3DF7A0FE"/>
    <w:rsid w:val="3E4423B2"/>
    <w:rsid w:val="3FAA908D"/>
    <w:rsid w:val="40292E53"/>
    <w:rsid w:val="43C0291A"/>
    <w:rsid w:val="4536EC7A"/>
    <w:rsid w:val="4668CD29"/>
    <w:rsid w:val="4782A2B5"/>
    <w:rsid w:val="47F2423D"/>
    <w:rsid w:val="49286F02"/>
    <w:rsid w:val="4B0FB23E"/>
    <w:rsid w:val="4B37D80B"/>
    <w:rsid w:val="4BA77B8B"/>
    <w:rsid w:val="4C1D9316"/>
    <w:rsid w:val="4CB7B70F"/>
    <w:rsid w:val="4DEE7177"/>
    <w:rsid w:val="4EBD8751"/>
    <w:rsid w:val="4F231382"/>
    <w:rsid w:val="4F8606E7"/>
    <w:rsid w:val="4F9E7C6F"/>
    <w:rsid w:val="4FC99B9E"/>
    <w:rsid w:val="50511995"/>
    <w:rsid w:val="50D72B28"/>
    <w:rsid w:val="529F42C3"/>
    <w:rsid w:val="52F5A835"/>
    <w:rsid w:val="54560AEA"/>
    <w:rsid w:val="558F977F"/>
    <w:rsid w:val="55BA4346"/>
    <w:rsid w:val="55C90928"/>
    <w:rsid w:val="56E23696"/>
    <w:rsid w:val="57413FE0"/>
    <w:rsid w:val="5764D989"/>
    <w:rsid w:val="5AE10963"/>
    <w:rsid w:val="5C2A6CF6"/>
    <w:rsid w:val="5CC62AC2"/>
    <w:rsid w:val="5D2AD480"/>
    <w:rsid w:val="5F3B6A25"/>
    <w:rsid w:val="60535306"/>
    <w:rsid w:val="60AF33AD"/>
    <w:rsid w:val="637BC067"/>
    <w:rsid w:val="64A0DD4C"/>
    <w:rsid w:val="64D7A6EC"/>
    <w:rsid w:val="650131E2"/>
    <w:rsid w:val="66383058"/>
    <w:rsid w:val="663BFCA9"/>
    <w:rsid w:val="665F227E"/>
    <w:rsid w:val="68016478"/>
    <w:rsid w:val="69683A13"/>
    <w:rsid w:val="6973CF70"/>
    <w:rsid w:val="6977DAC9"/>
    <w:rsid w:val="69E59698"/>
    <w:rsid w:val="6A12BA9B"/>
    <w:rsid w:val="6A3EA19A"/>
    <w:rsid w:val="6C1D6911"/>
    <w:rsid w:val="6F64004E"/>
    <w:rsid w:val="700049DA"/>
    <w:rsid w:val="700D207B"/>
    <w:rsid w:val="707C4A9D"/>
    <w:rsid w:val="71FC7A2F"/>
    <w:rsid w:val="72CF32D2"/>
    <w:rsid w:val="73F5F824"/>
    <w:rsid w:val="74B8197E"/>
    <w:rsid w:val="75B363FF"/>
    <w:rsid w:val="75EF1CDC"/>
    <w:rsid w:val="760036BC"/>
    <w:rsid w:val="773723B1"/>
    <w:rsid w:val="778DC0A3"/>
    <w:rsid w:val="781A6F44"/>
    <w:rsid w:val="79F5309F"/>
    <w:rsid w:val="7AB0F582"/>
    <w:rsid w:val="7BF32717"/>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6"/>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8"/>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page number"/>
    <w:basedOn w:val="16"/>
    <w:qFormat/>
    <w:uiPriority w:val="0"/>
  </w:style>
  <w:style w:type="character" w:styleId="18">
    <w:name w:val="FollowedHyperlink"/>
    <w:basedOn w:val="16"/>
    <w:qFormat/>
    <w:uiPriority w:val="0"/>
    <w:rPr>
      <w:color w:val="954F72" w:themeColor="followedHyperlink"/>
      <w:u w:val="single"/>
      <w14:textFill>
        <w14:solidFill>
          <w14:schemeClr w14:val="folHlink"/>
        </w14:solidFill>
      </w14:textFill>
    </w:rPr>
  </w:style>
  <w:style w:type="character" w:styleId="19">
    <w:name w:val="Hyperlink"/>
    <w:unhideWhenUsed/>
    <w:qFormat/>
    <w:uiPriority w:val="99"/>
    <w:rPr>
      <w:color w:val="0000FF"/>
      <w:u w:val="single"/>
    </w:rPr>
  </w:style>
  <w:style w:type="character" w:styleId="20">
    <w:name w:val="annotation reference"/>
    <w:basedOn w:val="16"/>
    <w:qFormat/>
    <w:uiPriority w:val="0"/>
    <w:rPr>
      <w:sz w:val="16"/>
      <w:szCs w:val="16"/>
    </w:rPr>
  </w:style>
  <w:style w:type="paragraph" w:customStyle="1" w:styleId="21">
    <w:name w:val="B1"/>
    <w:basedOn w:val="1"/>
    <w:link w:val="35"/>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B1 Char"/>
    <w:link w:val="21"/>
    <w:qFormat/>
    <w:uiPriority w:val="0"/>
    <w:rPr>
      <w:rFonts w:ascii="Arial" w:hAnsi="Arial"/>
      <w:lang w:eastAsia="en-US"/>
    </w:rPr>
  </w:style>
  <w:style w:type="character" w:customStyle="1" w:styleId="36">
    <w:name w:val="Header Char"/>
    <w:basedOn w:val="16"/>
    <w:link w:val="11"/>
    <w:qFormat/>
    <w:uiPriority w:val="0"/>
    <w:rPr>
      <w:lang w:eastAsia="en-US"/>
    </w:rPr>
  </w:style>
  <w:style w:type="character" w:customStyle="1" w:styleId="37">
    <w:name w:val="Comment Text Char"/>
    <w:basedOn w:val="16"/>
    <w:link w:val="8"/>
    <w:semiHidden/>
    <w:qFormat/>
    <w:uiPriority w:val="0"/>
    <w:rPr>
      <w:rFonts w:ascii="Arial" w:hAnsi="Arial"/>
      <w:lang w:eastAsia="en-US"/>
    </w:rPr>
  </w:style>
  <w:style w:type="character" w:customStyle="1" w:styleId="38">
    <w:name w:val="Comment Subject Char"/>
    <w:basedOn w:val="37"/>
    <w:link w:val="14"/>
    <w:qFormat/>
    <w:uiPriority w:val="0"/>
    <w:rPr>
      <w:rFonts w:ascii="Arial" w:hAnsi="Arial"/>
      <w:b/>
      <w:bCs/>
      <w:lang w:eastAsia="en-US"/>
    </w:rPr>
  </w:style>
  <w:style w:type="character" w:customStyle="1" w:styleId="39">
    <w:name w:val="emailstyle15"/>
    <w:basedOn w:val="16"/>
    <w:semiHidden/>
    <w:qFormat/>
    <w:uiPriority w:val="0"/>
    <w:rPr>
      <w:rFonts w:hint="default" w:ascii="Calibri" w:hAnsi="Calibri" w:cs="Calibri"/>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5AIRPNAIUNRU-931754773-4003</_dlc_DocId>
    <_dlc_DocIdUrl xmlns="71c5aaf6-e6ce-465b-b873-5148d2a4c105">
      <Url>https://nokia.sharepoint.com/sites/c5g/security/_layouts/15/DocIdRedir.aspx?ID=5AIRPNAIUNRU-931754773-4003</Url>
      <Description>5AIRPNAIUNRU-931754773-4003</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A61F44-40E6-4F1D-A684-0F6387500EA5}">
  <ds:schemaRefs/>
</ds:datastoreItem>
</file>

<file path=customXml/itemProps2.xml><?xml version="1.0" encoding="utf-8"?>
<ds:datastoreItem xmlns:ds="http://schemas.openxmlformats.org/officeDocument/2006/customXml" ds:itemID="{752FA485-87CF-48A6-A913-0B2844D6E847}">
  <ds:schemaRefs/>
</ds:datastoreItem>
</file>

<file path=customXml/itemProps3.xml><?xml version="1.0" encoding="utf-8"?>
<ds:datastoreItem xmlns:ds="http://schemas.openxmlformats.org/officeDocument/2006/customXml" ds:itemID="{C3C8CD89-946D-4DD4-B1F4-7DE6069571D7}">
  <ds:schemaRefs/>
</ds:datastoreItem>
</file>

<file path=customXml/itemProps4.xml><?xml version="1.0" encoding="utf-8"?>
<ds:datastoreItem xmlns:ds="http://schemas.openxmlformats.org/officeDocument/2006/customXml" ds:itemID="{4CD67AAC-E1ED-41F4-BBB4-59AE7709ACF3}">
  <ds:schemaRefs/>
</ds:datastoreItem>
</file>

<file path=customXml/itemProps5.xml><?xml version="1.0" encoding="utf-8"?>
<ds:datastoreItem xmlns:ds="http://schemas.openxmlformats.org/officeDocument/2006/customXml" ds:itemID="{786F665E-286F-4AE7-84D5-DCBCE84DD274}">
  <ds:schemaRefs/>
</ds:datastoreItem>
</file>

<file path=customXml/itemProps6.xml><?xml version="1.0" encoding="utf-8"?>
<ds:datastoreItem xmlns:ds="http://schemas.openxmlformats.org/officeDocument/2006/customXml" ds:itemID="{176DEA4F-C539-4F2C-B28D-A682AF2E5351}">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936</Words>
  <Characters>5433</Characters>
  <Lines>45</Lines>
  <Paragraphs>12</Paragraphs>
  <TotalTime>1</TotalTime>
  <ScaleCrop>false</ScaleCrop>
  <LinksUpToDate>false</LinksUpToDate>
  <CharactersWithSpaces>6357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2023-07-06T09:06:00Z</dcterms:created>
  <dc:creator>David Boswarthick</dc:creator>
  <cp:lastModifiedBy>姚戈</cp:lastModifiedBy>
  <cp:lastPrinted>2001-04-23T09:30:00Z</cp:lastPrinted>
  <dcterms:modified xsi:type="dcterms:W3CDTF">2023-10-30T13:18:52Z</dcterms:modified>
  <dc:title>Source: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23edcf1a-9b7d-415d-ae48-e094f49fabf8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2D190C17F1854972BB503EB3C150F1F1</vt:lpwstr>
  </property>
</Properties>
</file>